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7E2EB6" w14:textId="77777777" w:rsidR="00EE6CF3" w:rsidRPr="00EE6CF3" w:rsidRDefault="00EE6CF3" w:rsidP="00EE6CF3">
      <w:pPr>
        <w:autoSpaceDE w:val="0"/>
        <w:autoSpaceDN w:val="0"/>
        <w:spacing w:before="40" w:after="40"/>
        <w:jc w:val="center"/>
        <w:rPr>
          <w:rFonts w:ascii="Montserrat Medium" w:hAnsi="Montserrat Medium" w:cs="Segoe UI"/>
          <w:color w:val="000000"/>
          <w:sz w:val="22"/>
          <w:szCs w:val="22"/>
        </w:rPr>
      </w:pPr>
      <w:r w:rsidRPr="00EE6CF3">
        <w:rPr>
          <w:rFonts w:ascii="Montserrat Medium" w:hAnsi="Montserrat Medium" w:cs="Segoe UI"/>
          <w:b/>
          <w:smallCaps/>
          <w:color w:val="000000"/>
          <w:sz w:val="22"/>
          <w:szCs w:val="22"/>
        </w:rPr>
        <w:t>Nota al criterio Hipervínculo a los formatos respectivos</w:t>
      </w:r>
    </w:p>
    <w:p w14:paraId="7FD2CDDC" w14:textId="77777777"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p>
    <w:p w14:paraId="553077A4" w14:textId="43813773"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r w:rsidRPr="00EE6CF3">
        <w:rPr>
          <w:rFonts w:ascii="Montserrat Medium" w:hAnsi="Montserrat Medium" w:cs="Segoe UI"/>
          <w:color w:val="000000"/>
          <w:sz w:val="22"/>
          <w:szCs w:val="22"/>
        </w:rPr>
        <w:t xml:space="preserve">La Ley General de Transparencia y Acceso a la Información Pública (LGTAIP), la Ley General de Protección de Datos Personales en Posesión de Sujetos Obligados (LGPDPPSO) y la Ley Federal de Transparencia y Acceso a la Información Pública (LFTAIP) </w:t>
      </w:r>
      <w:r w:rsidRPr="00EE6CF3">
        <w:rPr>
          <w:rFonts w:ascii="Montserrat Medium" w:hAnsi="Montserrat Medium" w:cs="Segoe UI"/>
          <w:color w:val="000000"/>
          <w:sz w:val="22"/>
          <w:szCs w:val="22"/>
        </w:rPr>
        <w:t xml:space="preserve">no establecen la obligación de generar formatos para que las personas puedan </w:t>
      </w:r>
      <w:r w:rsidRPr="00EE6CF3">
        <w:rPr>
          <w:rFonts w:ascii="Montserrat Medium" w:hAnsi="Montserrat Medium" w:cs="Segoe UI"/>
          <w:color w:val="000000"/>
          <w:sz w:val="22"/>
          <w:szCs w:val="22"/>
        </w:rPr>
        <w:t xml:space="preserve">ejercer su derecho de acceso a la información y/o protección de datos personales. </w:t>
      </w:r>
    </w:p>
    <w:p w14:paraId="3F6ABF32" w14:textId="77777777"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p>
    <w:p w14:paraId="7D35BB39" w14:textId="5CBAFB71"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r w:rsidRPr="00EE6CF3">
        <w:rPr>
          <w:rFonts w:ascii="Montserrat Medium" w:hAnsi="Montserrat Medium" w:cs="Segoe UI"/>
          <w:color w:val="000000"/>
          <w:sz w:val="22"/>
          <w:szCs w:val="22"/>
        </w:rPr>
        <w:t xml:space="preserve">Para la prestación de los diversos servicios que otorga </w:t>
      </w:r>
      <w:r w:rsidRPr="00EE6CF3">
        <w:rPr>
          <w:rFonts w:ascii="Montserrat Medium" w:hAnsi="Montserrat Medium" w:cs="Segoe UI"/>
          <w:color w:val="000000"/>
          <w:sz w:val="22"/>
          <w:szCs w:val="22"/>
        </w:rPr>
        <w:t>la Unidad de Transparencia del Sistema Público de Radiodifusión del Estado Mexicano (SPR)</w:t>
      </w:r>
      <w:r w:rsidRPr="00EE6CF3">
        <w:rPr>
          <w:rFonts w:ascii="Montserrat Medium" w:hAnsi="Montserrat Medium" w:cs="Segoe UI"/>
          <w:color w:val="000000"/>
          <w:sz w:val="22"/>
          <w:szCs w:val="22"/>
        </w:rPr>
        <w:t>, no se pide la presentación de ningún documento, sin embargo, para hacer procedente el registro de solicitudes de acceso a la información pública y de datos personales, y para la presentación del recurso de revisión, la normatividad aplicable establece los requisitos. Se explican a continuación:</w:t>
      </w:r>
    </w:p>
    <w:p w14:paraId="0C4CFBCA" w14:textId="77777777"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p>
    <w:tbl>
      <w:tblPr>
        <w:tblStyle w:val="Tablaconcuadrcula"/>
        <w:tblW w:w="0" w:type="auto"/>
        <w:tblLook w:val="04A0" w:firstRow="1" w:lastRow="0" w:firstColumn="1" w:lastColumn="0" w:noHBand="0" w:noVBand="1"/>
      </w:tblPr>
      <w:tblGrid>
        <w:gridCol w:w="2440"/>
        <w:gridCol w:w="7152"/>
      </w:tblGrid>
      <w:tr w:rsidR="00EE6CF3" w:rsidRPr="00EE6CF3" w14:paraId="68699A70" w14:textId="77777777" w:rsidTr="00221F8F">
        <w:tc>
          <w:tcPr>
            <w:tcW w:w="2440" w:type="dxa"/>
          </w:tcPr>
          <w:p w14:paraId="112F5320" w14:textId="77777777" w:rsidR="00EE6CF3" w:rsidRPr="00EE6CF3" w:rsidRDefault="00EE6CF3" w:rsidP="00221F8F">
            <w:pPr>
              <w:autoSpaceDE w:val="0"/>
              <w:autoSpaceDN w:val="0"/>
              <w:spacing w:before="40" w:after="40"/>
              <w:jc w:val="center"/>
              <w:rPr>
                <w:rFonts w:ascii="Montserrat Medium" w:hAnsi="Montserrat Medium" w:cs="Segoe UI"/>
                <w:b/>
                <w:smallCaps/>
                <w:color w:val="000000"/>
                <w:sz w:val="21"/>
                <w:szCs w:val="21"/>
              </w:rPr>
            </w:pPr>
            <w:r w:rsidRPr="00EE6CF3">
              <w:rPr>
                <w:rFonts w:ascii="Montserrat Medium" w:hAnsi="Montserrat Medium" w:cs="Segoe UI"/>
                <w:b/>
                <w:smallCaps/>
                <w:color w:val="000000"/>
                <w:sz w:val="21"/>
                <w:szCs w:val="21"/>
              </w:rPr>
              <w:t>Servicio</w:t>
            </w:r>
          </w:p>
        </w:tc>
        <w:tc>
          <w:tcPr>
            <w:tcW w:w="6956" w:type="dxa"/>
          </w:tcPr>
          <w:p w14:paraId="5F94BED3" w14:textId="77777777" w:rsidR="00EE6CF3" w:rsidRPr="00EE6CF3" w:rsidRDefault="00EE6CF3" w:rsidP="00221F8F">
            <w:pPr>
              <w:autoSpaceDE w:val="0"/>
              <w:autoSpaceDN w:val="0"/>
              <w:spacing w:before="40" w:after="40"/>
              <w:jc w:val="center"/>
              <w:rPr>
                <w:rFonts w:ascii="Montserrat Medium" w:hAnsi="Montserrat Medium" w:cs="Segoe UI"/>
                <w:b/>
                <w:smallCaps/>
                <w:color w:val="000000"/>
                <w:sz w:val="21"/>
                <w:szCs w:val="21"/>
              </w:rPr>
            </w:pPr>
            <w:r w:rsidRPr="00EE6CF3">
              <w:rPr>
                <w:rFonts w:ascii="Montserrat Medium" w:hAnsi="Montserrat Medium" w:cs="Segoe UI"/>
                <w:b/>
                <w:smallCaps/>
                <w:color w:val="000000"/>
                <w:sz w:val="21"/>
                <w:szCs w:val="21"/>
              </w:rPr>
              <w:t>Requisitos legales</w:t>
            </w:r>
          </w:p>
        </w:tc>
      </w:tr>
      <w:tr w:rsidR="00EE6CF3" w:rsidRPr="00EE6CF3" w14:paraId="1DDC97EC" w14:textId="77777777" w:rsidTr="00221F8F">
        <w:tc>
          <w:tcPr>
            <w:tcW w:w="2440" w:type="dxa"/>
          </w:tcPr>
          <w:p w14:paraId="3656A935" w14:textId="304134A3" w:rsidR="00EE6CF3" w:rsidRPr="00EE6CF3" w:rsidRDefault="00EE6CF3" w:rsidP="00221F8F">
            <w:pPr>
              <w:autoSpaceDE w:val="0"/>
              <w:autoSpaceDN w:val="0"/>
              <w:spacing w:before="40" w:after="40"/>
              <w:jc w:val="both"/>
              <w:rPr>
                <w:rFonts w:ascii="Montserrat Medium" w:hAnsi="Montserrat Medium" w:cs="Segoe UI"/>
                <w:color w:val="000000"/>
                <w:sz w:val="21"/>
                <w:szCs w:val="21"/>
                <w:lang w:val="es-ES"/>
              </w:rPr>
            </w:pPr>
            <w:r w:rsidRPr="00EE6CF3">
              <w:rPr>
                <w:rFonts w:ascii="Montserrat Medium" w:hAnsi="Montserrat Medium" w:cs="Segoe UI"/>
                <w:color w:val="000000"/>
                <w:sz w:val="21"/>
                <w:szCs w:val="21"/>
              </w:rPr>
              <w:t>Registro de solicitudes de información pública a</w:t>
            </w:r>
            <w:r w:rsidRPr="00EE6CF3">
              <w:rPr>
                <w:rFonts w:ascii="Montserrat Medium" w:hAnsi="Montserrat Medium" w:cs="Segoe UI"/>
                <w:color w:val="000000"/>
                <w:sz w:val="21"/>
                <w:szCs w:val="21"/>
              </w:rPr>
              <w:t>l SPR o cualquier</w:t>
            </w:r>
            <w:r w:rsidRPr="00EE6CF3">
              <w:rPr>
                <w:rFonts w:ascii="Montserrat Medium" w:hAnsi="Montserrat Medium" w:cs="Segoe UI"/>
                <w:color w:val="000000"/>
                <w:sz w:val="21"/>
                <w:szCs w:val="21"/>
              </w:rPr>
              <w:t xml:space="preserve"> </w:t>
            </w:r>
            <w:r w:rsidRPr="00EE6CF3">
              <w:rPr>
                <w:rFonts w:ascii="Montserrat Medium" w:hAnsi="Montserrat Medium" w:cs="Segoe UI"/>
                <w:color w:val="000000"/>
                <w:sz w:val="21"/>
                <w:szCs w:val="21"/>
              </w:rPr>
              <w:t>sujeto obligado</w:t>
            </w:r>
            <w:r w:rsidRPr="00EE6CF3">
              <w:rPr>
                <w:rFonts w:ascii="Montserrat Medium" w:hAnsi="Montserrat Medium" w:cs="Segoe UI"/>
                <w:color w:val="000000"/>
                <w:sz w:val="21"/>
                <w:szCs w:val="21"/>
              </w:rPr>
              <w:t xml:space="preserve"> del ámbito federal. Para el caso de solicitudes a sujetos obligados del ámbito estatal y municipal, se ofrecerá un acompañamiento a los usuarios, siempre y cuando el usuario cuente con las herramientas informáticas necesarias</w:t>
            </w:r>
          </w:p>
          <w:p w14:paraId="35A62D06"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c>
          <w:tcPr>
            <w:tcW w:w="6956" w:type="dxa"/>
          </w:tcPr>
          <w:p w14:paraId="4319FFB1"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El artículo 124 de la Ley General de Transparencia y Acceso a la Información Pública establece los siguientes requisitos:</w:t>
            </w:r>
          </w:p>
          <w:p w14:paraId="57731233"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748E13C1"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w:t>
            </w:r>
            <w:r w:rsidRPr="00EE6CF3">
              <w:rPr>
                <w:rFonts w:ascii="Montserrat Medium" w:hAnsi="Montserrat Medium" w:cs="Segoe UI"/>
                <w:color w:val="000000"/>
                <w:sz w:val="21"/>
                <w:szCs w:val="21"/>
              </w:rPr>
              <w:tab/>
              <w:t>Nombre de la persona solicitante o, en su caso, los datos generales de su representante;</w:t>
            </w:r>
          </w:p>
          <w:p w14:paraId="0998BC2B"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w:t>
            </w:r>
            <w:r w:rsidRPr="00EE6CF3">
              <w:rPr>
                <w:rFonts w:ascii="Montserrat Medium" w:hAnsi="Montserrat Medium" w:cs="Segoe UI"/>
                <w:color w:val="000000"/>
                <w:sz w:val="21"/>
                <w:szCs w:val="21"/>
              </w:rPr>
              <w:tab/>
              <w:t xml:space="preserve">Domicilio o medio (por ejemplo, una cuenta de correo electrónico) para recibir notificaciones; </w:t>
            </w:r>
          </w:p>
          <w:p w14:paraId="43776436"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III.</w:t>
            </w:r>
            <w:r w:rsidRPr="00EE6CF3">
              <w:rPr>
                <w:rFonts w:ascii="Montserrat Medium" w:hAnsi="Montserrat Medium" w:cs="Segoe UI"/>
                <w:color w:val="000000"/>
                <w:sz w:val="21"/>
                <w:szCs w:val="21"/>
              </w:rPr>
              <w:tab/>
              <w:t>La descripción de la información solicitada; (documentos o datos a los cuales quiere tener acceso);</w:t>
            </w:r>
          </w:p>
          <w:p w14:paraId="564C33FF"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IV.</w:t>
            </w:r>
            <w:r w:rsidRPr="00EE6CF3">
              <w:rPr>
                <w:rFonts w:ascii="Montserrat Medium" w:hAnsi="Montserrat Medium" w:cs="Segoe UI"/>
                <w:color w:val="000000"/>
                <w:sz w:val="21"/>
                <w:szCs w:val="21"/>
              </w:rPr>
              <w:tab/>
              <w:t xml:space="preserve">Cualquier otro dato que facilite su búsqueda y eventual localización (por ejemplo, si están en posesión de una unidad administrativa del sujeto obligado), y </w:t>
            </w:r>
          </w:p>
          <w:p w14:paraId="4473A94F"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w:t>
            </w:r>
            <w:r w:rsidRPr="00EE6CF3">
              <w:rPr>
                <w:rFonts w:ascii="Montserrat Medium" w:hAnsi="Montserrat Medium" w:cs="Segoe UI"/>
                <w:color w:val="000000"/>
                <w:sz w:val="21"/>
                <w:szCs w:val="21"/>
              </w:rPr>
              <w:tab/>
              <w:t xml:space="preserve">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 </w:t>
            </w:r>
          </w:p>
          <w:p w14:paraId="24331637"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56E7FFA4"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La información de las fracciones I y IV será proporcionada por la persona solicitante de manera opcional y, en ningún caso, podrá ser un requisito indispensable para la procedencia de la solicitud.</w:t>
            </w:r>
          </w:p>
          <w:p w14:paraId="1D47113E"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4A6D491F"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Hipervínculo a la ley completa:</w:t>
            </w:r>
          </w:p>
          <w:p w14:paraId="5F3B744D" w14:textId="77777777" w:rsidR="00EE6CF3" w:rsidRDefault="00EE6CF3" w:rsidP="00221F8F">
            <w:pPr>
              <w:autoSpaceDE w:val="0"/>
              <w:autoSpaceDN w:val="0"/>
              <w:spacing w:before="40" w:after="40"/>
              <w:jc w:val="both"/>
              <w:rPr>
                <w:rFonts w:ascii="Montserrat Medium" w:hAnsi="Montserrat Medium" w:cs="Segoe UI"/>
                <w:color w:val="000000"/>
                <w:sz w:val="21"/>
                <w:szCs w:val="21"/>
              </w:rPr>
            </w:pPr>
            <w:hyperlink r:id="rId9" w:history="1">
              <w:r w:rsidRPr="00EE6CF3">
                <w:rPr>
                  <w:rStyle w:val="Hipervnculo"/>
                  <w:rFonts w:ascii="Montserrat Medium" w:hAnsi="Montserrat Medium" w:cs="Segoe UI"/>
                  <w:sz w:val="21"/>
                  <w:szCs w:val="21"/>
                </w:rPr>
                <w:t>http://www.diputados.gob.mx/LeyesBiblio/ref/lgtaip.htm</w:t>
              </w:r>
            </w:hyperlink>
            <w:r w:rsidRPr="00EE6CF3">
              <w:rPr>
                <w:rFonts w:ascii="Montserrat Medium" w:hAnsi="Montserrat Medium" w:cs="Segoe UI"/>
                <w:color w:val="000000"/>
                <w:sz w:val="21"/>
                <w:szCs w:val="21"/>
              </w:rPr>
              <w:t xml:space="preserve"> </w:t>
            </w:r>
          </w:p>
          <w:p w14:paraId="5D9AFCAE"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r>
      <w:tr w:rsidR="00EE6CF3" w:rsidRPr="00EE6CF3" w14:paraId="2640008D" w14:textId="77777777" w:rsidTr="00221F8F">
        <w:tc>
          <w:tcPr>
            <w:tcW w:w="2440" w:type="dxa"/>
          </w:tcPr>
          <w:p w14:paraId="32BD041D" w14:textId="06894A6D" w:rsidR="00EE6CF3" w:rsidRPr="00EE6CF3" w:rsidRDefault="00EE6CF3" w:rsidP="00221F8F">
            <w:pPr>
              <w:autoSpaceDE w:val="0"/>
              <w:autoSpaceDN w:val="0"/>
              <w:spacing w:before="40" w:after="40"/>
              <w:jc w:val="both"/>
              <w:rPr>
                <w:rFonts w:ascii="Montserrat Medium" w:hAnsi="Montserrat Medium" w:cs="Segoe UI"/>
                <w:color w:val="000000"/>
                <w:sz w:val="21"/>
                <w:szCs w:val="21"/>
                <w:lang w:val="es-ES"/>
              </w:rPr>
            </w:pPr>
            <w:r w:rsidRPr="00EE6CF3">
              <w:rPr>
                <w:rFonts w:ascii="Montserrat Medium" w:hAnsi="Montserrat Medium" w:cs="Segoe UI"/>
                <w:color w:val="000000"/>
                <w:sz w:val="21"/>
                <w:szCs w:val="21"/>
              </w:rPr>
              <w:lastRenderedPageBreak/>
              <w:t>Registro de solicitudes de acceso, rectificación, cancelación y oposición de datos personales, para</w:t>
            </w:r>
            <w:r w:rsidRPr="00EE6CF3">
              <w:rPr>
                <w:rFonts w:ascii="Montserrat Medium" w:hAnsi="Montserrat Medium" w:cs="Segoe UI"/>
                <w:color w:val="000000"/>
                <w:sz w:val="21"/>
                <w:szCs w:val="21"/>
              </w:rPr>
              <w:t xml:space="preserve"> el SPR o cualquier sujeto obligado</w:t>
            </w:r>
            <w:r w:rsidRPr="00EE6CF3">
              <w:rPr>
                <w:rFonts w:ascii="Montserrat Medium" w:hAnsi="Montserrat Medium" w:cs="Segoe UI"/>
                <w:color w:val="000000"/>
                <w:sz w:val="21"/>
                <w:szCs w:val="21"/>
              </w:rPr>
              <w:t xml:space="preserve"> de la Federación. Para el caso de solicitudes a sujetos obligados del ámbito estatal y municipal, se ofrecerá un acompañamiento a los usuarios, siempre y cuando el usuario cuente con las herramientas informáticas necesarias</w:t>
            </w:r>
          </w:p>
          <w:p w14:paraId="18539C09"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c>
          <w:tcPr>
            <w:tcW w:w="6956" w:type="dxa"/>
          </w:tcPr>
          <w:p w14:paraId="5A95D464"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El artículo 52 de la Ley General de Protección de Datos Personales en Posesión de Sujetos Obligados, refiere como requisitos los siguientes:</w:t>
            </w:r>
          </w:p>
          <w:p w14:paraId="4101F956"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03C73F7F" w14:textId="77777777" w:rsidR="00EE6CF3" w:rsidRPr="00EE6CF3" w:rsidRDefault="00EE6CF3" w:rsidP="00EE6CF3">
            <w:pPr>
              <w:pStyle w:val="Prrafodelista"/>
              <w:numPr>
                <w:ilvl w:val="0"/>
                <w:numId w:val="9"/>
              </w:numPr>
              <w:autoSpaceDE w:val="0"/>
              <w:autoSpaceDN w:val="0"/>
              <w:spacing w:before="40" w:after="40"/>
              <w:ind w:left="289" w:hanging="283"/>
              <w:contextualSpacing w:val="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 xml:space="preserve">El nombre </w:t>
            </w:r>
            <w:r w:rsidRPr="00EE6CF3">
              <w:rPr>
                <w:rFonts w:ascii="Montserrat Medium" w:eastAsia="Calibri" w:hAnsi="Montserrat Medium" w:cs="Arial"/>
                <w:sz w:val="21"/>
                <w:szCs w:val="21"/>
                <w:lang w:eastAsia="en-US"/>
              </w:rPr>
              <w:t>completo de la persona titular de los datos sobre los cuales se quiere ejercer alguno de los derechos ARCO (</w:t>
            </w:r>
            <w:r w:rsidRPr="00EE6CF3">
              <w:rPr>
                <w:rFonts w:ascii="Montserrat Medium" w:hAnsi="Montserrat Medium" w:cs="Segoe UI"/>
                <w:color w:val="000000"/>
                <w:sz w:val="21"/>
                <w:szCs w:val="21"/>
              </w:rPr>
              <w:t>acceso, rectificación, cancelación y oposición)</w:t>
            </w:r>
            <w:r w:rsidRPr="00EE6CF3">
              <w:rPr>
                <w:rFonts w:ascii="Montserrat Medium" w:eastAsia="Calibri" w:hAnsi="Montserrat Medium" w:cs="Arial"/>
                <w:sz w:val="21"/>
                <w:szCs w:val="21"/>
                <w:lang w:eastAsia="en-US"/>
              </w:rPr>
              <w:t xml:space="preserve"> </w:t>
            </w:r>
            <w:r w:rsidRPr="00EE6CF3">
              <w:rPr>
                <w:rFonts w:ascii="Montserrat Medium" w:hAnsi="Montserrat Medium" w:cs="Segoe UI"/>
                <w:color w:val="000000"/>
                <w:sz w:val="21"/>
                <w:szCs w:val="21"/>
              </w:rPr>
              <w:t>y su domicilio o cualquier otro medio para recibir notificaciones (por ejemplo, una cuenta de correo electrónico);</w:t>
            </w:r>
          </w:p>
          <w:p w14:paraId="0DDBAA28"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 Los documentos que acrediten la identidad de la persona titular de los datos y, en su caso, la personalidad e identidad de su representante;</w:t>
            </w:r>
          </w:p>
          <w:p w14:paraId="3F1B6ACB"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III. De ser posible, el área responsable que trata los datos personales y ante el cual se presenta la solicitud;</w:t>
            </w:r>
          </w:p>
          <w:p w14:paraId="19DCB24F"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IV. La descripción clara y precisa de los datos personales respecto de los que se busca ejercer alguno de los derechos ARCO, salvo que se trate del derecho de acceso;</w:t>
            </w:r>
          </w:p>
          <w:p w14:paraId="42B13BE5"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 La descripción del derecho ARCO que se pretende ejercer, o bien, lo que solicita de la persona titular de los datos, y</w:t>
            </w:r>
          </w:p>
          <w:p w14:paraId="245386B3"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VI. Cualquier otro elemento o documento que facilite la localización de los datos personales, en su caso.</w:t>
            </w:r>
          </w:p>
          <w:p w14:paraId="336357F2"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0531AD5E"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Hipervínculo a la ley completa:</w:t>
            </w:r>
          </w:p>
          <w:p w14:paraId="5DD4A971"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hyperlink r:id="rId10" w:history="1">
              <w:r w:rsidRPr="00EE6CF3">
                <w:rPr>
                  <w:rStyle w:val="Hipervnculo"/>
                  <w:rFonts w:ascii="Montserrat Medium" w:hAnsi="Montserrat Medium" w:cs="Segoe UI"/>
                  <w:sz w:val="21"/>
                  <w:szCs w:val="21"/>
                </w:rPr>
                <w:t>http://www.diputados.gob.mx/LeyesBiblio/pdf/LGPDPPSO.pdf</w:t>
              </w:r>
            </w:hyperlink>
            <w:r w:rsidRPr="00EE6CF3">
              <w:rPr>
                <w:rFonts w:ascii="Montserrat Medium" w:hAnsi="Montserrat Medium" w:cs="Segoe UI"/>
                <w:color w:val="000000"/>
                <w:sz w:val="21"/>
                <w:szCs w:val="21"/>
              </w:rPr>
              <w:t xml:space="preserve"> </w:t>
            </w:r>
          </w:p>
          <w:p w14:paraId="42753A07"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r>
      <w:tr w:rsidR="00EE6CF3" w:rsidRPr="00EE6CF3" w14:paraId="6B61E0F5" w14:textId="77777777" w:rsidTr="00221F8F">
        <w:tc>
          <w:tcPr>
            <w:tcW w:w="2440" w:type="dxa"/>
            <w:vMerge w:val="restart"/>
          </w:tcPr>
          <w:p w14:paraId="0061EB2E" w14:textId="280EEA33"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Apoyo en la elaboración de Recurso de Revisión contra los sujetos obligados de la Federación</w:t>
            </w:r>
          </w:p>
        </w:tc>
        <w:tc>
          <w:tcPr>
            <w:tcW w:w="6956" w:type="dxa"/>
          </w:tcPr>
          <w:p w14:paraId="478801E7" w14:textId="77777777" w:rsidR="00EE6CF3" w:rsidRPr="00EE6CF3" w:rsidRDefault="00EE6CF3" w:rsidP="00221F8F">
            <w:pPr>
              <w:autoSpaceDE w:val="0"/>
              <w:autoSpaceDN w:val="0"/>
              <w:spacing w:before="40" w:after="40"/>
              <w:jc w:val="both"/>
              <w:rPr>
                <w:rFonts w:ascii="Montserrat Medium" w:hAnsi="Montserrat Medium" w:cs="Segoe UI"/>
                <w:b/>
                <w:smallCaps/>
                <w:color w:val="000000"/>
                <w:sz w:val="21"/>
                <w:szCs w:val="21"/>
              </w:rPr>
            </w:pPr>
            <w:r w:rsidRPr="00EE6CF3">
              <w:rPr>
                <w:rFonts w:ascii="Montserrat Medium" w:hAnsi="Montserrat Medium" w:cs="Segoe UI"/>
                <w:b/>
                <w:smallCaps/>
                <w:color w:val="000000"/>
                <w:sz w:val="21"/>
                <w:szCs w:val="21"/>
              </w:rPr>
              <w:t>En materia de Acceso a la Información Pública</w:t>
            </w:r>
          </w:p>
          <w:p w14:paraId="47BDCB9E"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El artículo 149 de la Ley Federal de Transparencia Y Acceso A La Información Pública, señala como requisitos para la presentación del recurso de revisión los siguientes:</w:t>
            </w:r>
          </w:p>
          <w:p w14:paraId="57394650"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4B4B43B4"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 El sujeto obligado ante la cual se presentó la solicitud;</w:t>
            </w:r>
          </w:p>
          <w:p w14:paraId="217125A9"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 El nombre del solicitante que recurre o de su representante y, en su caso, del tercero interesado, así como la dirección o medio que señale para recibir notificaciones;</w:t>
            </w:r>
          </w:p>
          <w:p w14:paraId="0CBE92FF"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III. El número de folio de respuesta de la solicitud de acceso;</w:t>
            </w:r>
          </w:p>
          <w:p w14:paraId="061A08DF"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IV. La fecha en que fue notificada la respuesta al solicitante o tuvo conocimiento del acto reclamado, o de presentación de la solicitud, en caso de falta de respuesta;</w:t>
            </w:r>
          </w:p>
          <w:p w14:paraId="2FD30A63"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 El acto que se recurre;</w:t>
            </w:r>
          </w:p>
          <w:p w14:paraId="4E42345B"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VI. Las razones o motivos de inconformidad, y</w:t>
            </w:r>
          </w:p>
          <w:p w14:paraId="5CDF7055"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VII. La copia de la respuesta que se impugna y, en su caso, de la notificación correspondiente, salvo en el caso de respuesta de la solicitud.</w:t>
            </w:r>
          </w:p>
          <w:p w14:paraId="02E54E97"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3204A4F0"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Hipervínculo a la ley completa:</w:t>
            </w:r>
          </w:p>
          <w:p w14:paraId="773859DD"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hyperlink r:id="rId11" w:history="1">
              <w:r w:rsidRPr="00EE6CF3">
                <w:rPr>
                  <w:rStyle w:val="Hipervnculo"/>
                  <w:rFonts w:ascii="Montserrat Medium" w:hAnsi="Montserrat Medium" w:cs="Segoe UI"/>
                  <w:sz w:val="21"/>
                  <w:szCs w:val="21"/>
                </w:rPr>
                <w:t>http://www.diputados.gob.mx/LeyesBiblio/pdf/LFTAIP_270117.pdf</w:t>
              </w:r>
            </w:hyperlink>
            <w:r w:rsidRPr="00EE6CF3">
              <w:rPr>
                <w:rFonts w:ascii="Montserrat Medium" w:hAnsi="Montserrat Medium" w:cs="Segoe UI"/>
                <w:color w:val="000000"/>
                <w:sz w:val="21"/>
                <w:szCs w:val="21"/>
              </w:rPr>
              <w:t xml:space="preserve"> </w:t>
            </w:r>
          </w:p>
          <w:p w14:paraId="47DC597D"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r>
      <w:tr w:rsidR="00EE6CF3" w:rsidRPr="00EE6CF3" w14:paraId="1BC93F7F" w14:textId="77777777" w:rsidTr="00221F8F">
        <w:tc>
          <w:tcPr>
            <w:tcW w:w="2440" w:type="dxa"/>
            <w:vMerge/>
          </w:tcPr>
          <w:p w14:paraId="24FFFAF6"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c>
          <w:tcPr>
            <w:tcW w:w="6956" w:type="dxa"/>
          </w:tcPr>
          <w:p w14:paraId="0B4B6ED6"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b/>
                <w:smallCaps/>
                <w:color w:val="000000"/>
                <w:sz w:val="21"/>
                <w:szCs w:val="21"/>
              </w:rPr>
              <w:t>En materia de Protección de Datos Personales en posesión de sujetos obligados</w:t>
            </w:r>
            <w:r w:rsidRPr="00EE6CF3">
              <w:rPr>
                <w:rFonts w:ascii="Montserrat Medium" w:hAnsi="Montserrat Medium" w:cs="Segoe UI"/>
                <w:color w:val="000000"/>
                <w:sz w:val="21"/>
                <w:szCs w:val="21"/>
              </w:rPr>
              <w:t xml:space="preserve"> </w:t>
            </w:r>
          </w:p>
          <w:p w14:paraId="67E7B572"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El artículo 105 de la Ley General de Protección de Datos Personales en Posesión de Sujetos Obligados, señala como requisitos para que un particular presente el recurso de revisión, los siguientes:</w:t>
            </w:r>
          </w:p>
          <w:p w14:paraId="3F28CEF9"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p w14:paraId="1B990A44"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 El área responsable (nombre de la dependencia u organismo) ante quien se presentó la solicitud para el ejercicio de los derechos ARCO (Acceso, Rectificación, Cancelación y Oposición de Datos Personales);</w:t>
            </w:r>
          </w:p>
          <w:p w14:paraId="592B8414"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 El nombre del titular que recurre (esto es, su nombre completo) o el de su representante y, en su caso, del tercero interesado, así como el domicilio o medio que señale para recibir notificaciones (puede ser una cuenta de correo electrónico, la cuenta de la Plataforma Nacional de Transparencia PNT, los Estrados del INAI);</w:t>
            </w:r>
          </w:p>
          <w:p w14:paraId="7576E800"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III. La fecha en que le fue notificada la respuesta a usted como titular de los datos personales o a su representante, o bien, en caso de falta de respuesta, la fecha en la que presentó la solicitud para ejercer alguno de los derechos ARCO;</w:t>
            </w:r>
          </w:p>
          <w:p w14:paraId="6DAF480D"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IV. El acto que se recurre (esto es, la negativa total o parcial de la autoridad a concederle el ejercicio del derecho ARCO y los puntos petitorios, así como las razones o motivos de su inconformidad como titular de los datos personales;</w:t>
            </w:r>
          </w:p>
          <w:p w14:paraId="786C04E5"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 En su caso, copia de la respuesta que la persona titular de los datos personales impugna y de la notificación correspondiente, y</w:t>
            </w:r>
          </w:p>
          <w:p w14:paraId="6304ADDD"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VI. Los documentos que acrediten la identidad de la persona titular de los datos personales y, en su caso, la personalidad e identidad de su representante.</w:t>
            </w:r>
            <w:r w:rsidRPr="00EE6CF3">
              <w:rPr>
                <w:rFonts w:ascii="Montserrat Medium" w:hAnsi="Montserrat Medium" w:cs="Segoe UI"/>
                <w:color w:val="000000"/>
                <w:sz w:val="21"/>
                <w:szCs w:val="21"/>
              </w:rPr>
              <w:cr/>
            </w:r>
          </w:p>
          <w:p w14:paraId="458EEE0C"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r w:rsidRPr="00EE6CF3">
              <w:rPr>
                <w:rFonts w:ascii="Montserrat Medium" w:hAnsi="Montserrat Medium" w:cs="Segoe UI"/>
                <w:color w:val="000000"/>
                <w:sz w:val="21"/>
                <w:szCs w:val="21"/>
              </w:rPr>
              <w:t>Hipervínculo a la ley completa:</w:t>
            </w:r>
          </w:p>
          <w:p w14:paraId="174F1861"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hyperlink r:id="rId12" w:history="1">
              <w:r w:rsidRPr="00EE6CF3">
                <w:rPr>
                  <w:rStyle w:val="Hipervnculo"/>
                  <w:rFonts w:ascii="Montserrat Medium" w:hAnsi="Montserrat Medium" w:cs="Segoe UI"/>
                  <w:sz w:val="21"/>
                  <w:szCs w:val="21"/>
                </w:rPr>
                <w:t>http://www.diputados.gob.mx/LeyesBiblio/pdf/LGPDPPSO.pdf</w:t>
              </w:r>
            </w:hyperlink>
            <w:r w:rsidRPr="00EE6CF3">
              <w:rPr>
                <w:rFonts w:ascii="Montserrat Medium" w:hAnsi="Montserrat Medium" w:cs="Segoe UI"/>
                <w:color w:val="000000"/>
                <w:sz w:val="21"/>
                <w:szCs w:val="21"/>
              </w:rPr>
              <w:t xml:space="preserve"> </w:t>
            </w:r>
          </w:p>
          <w:p w14:paraId="506708CB" w14:textId="77777777" w:rsidR="00EE6CF3" w:rsidRPr="00EE6CF3" w:rsidRDefault="00EE6CF3" w:rsidP="00221F8F">
            <w:pPr>
              <w:autoSpaceDE w:val="0"/>
              <w:autoSpaceDN w:val="0"/>
              <w:spacing w:before="40" w:after="40"/>
              <w:jc w:val="both"/>
              <w:rPr>
                <w:rFonts w:ascii="Montserrat Medium" w:hAnsi="Montserrat Medium" w:cs="Segoe UI"/>
                <w:color w:val="000000"/>
                <w:sz w:val="21"/>
                <w:szCs w:val="21"/>
              </w:rPr>
            </w:pPr>
          </w:p>
        </w:tc>
      </w:tr>
    </w:tbl>
    <w:p w14:paraId="006430C7" w14:textId="77777777"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p>
    <w:p w14:paraId="115C86A6" w14:textId="77777777" w:rsidR="00EE6CF3" w:rsidRPr="00EE6CF3" w:rsidRDefault="00EE6CF3" w:rsidP="00EE6CF3">
      <w:pPr>
        <w:autoSpaceDE w:val="0"/>
        <w:autoSpaceDN w:val="0"/>
        <w:spacing w:before="40" w:after="40"/>
        <w:jc w:val="both"/>
        <w:rPr>
          <w:rFonts w:ascii="Montserrat Medium" w:hAnsi="Montserrat Medium" w:cs="Segoe UI"/>
          <w:color w:val="000000"/>
          <w:sz w:val="22"/>
          <w:szCs w:val="22"/>
        </w:rPr>
      </w:pPr>
    </w:p>
    <w:p w14:paraId="238EA413" w14:textId="77777777" w:rsidR="008A7EDF" w:rsidRPr="00EE6CF3" w:rsidRDefault="008A7EDF">
      <w:pPr>
        <w:rPr>
          <w:rFonts w:ascii="Montserrat Medium" w:hAnsi="Montserrat Medium"/>
          <w:sz w:val="22"/>
          <w:szCs w:val="22"/>
        </w:rPr>
      </w:pPr>
    </w:p>
    <w:sectPr w:rsidR="008A7EDF" w:rsidRPr="00EE6CF3" w:rsidSect="009F7651">
      <w:headerReference w:type="even" r:id="rId13"/>
      <w:headerReference w:type="default" r:id="rId14"/>
      <w:footerReference w:type="even" r:id="rId15"/>
      <w:footerReference w:type="default" r:id="rId16"/>
      <w:headerReference w:type="first" r:id="rId17"/>
      <w:footerReference w:type="first" r:id="rId18"/>
      <w:pgSz w:w="12240" w:h="15840"/>
      <w:pgMar w:top="2268"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AA2E5" w14:textId="77777777" w:rsidR="00B62252" w:rsidRDefault="00B62252" w:rsidP="00B301AA">
      <w:r>
        <w:separator/>
      </w:r>
    </w:p>
  </w:endnote>
  <w:endnote w:type="continuationSeparator" w:id="0">
    <w:p w14:paraId="0D85530D" w14:textId="77777777" w:rsidR="00B62252" w:rsidRDefault="00B62252" w:rsidP="00B30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w:altName w:val="Times New Roman"/>
    <w:charset w:val="00"/>
    <w:family w:val="auto"/>
    <w:pitch w:val="variable"/>
    <w:sig w:usb0="00000001"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Medium">
    <w:panose1 w:val="000006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67B08" w14:textId="77777777" w:rsidR="00EE6CF3" w:rsidRDefault="00EE6CF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513530"/>
      <w:docPartObj>
        <w:docPartGallery w:val="Page Numbers (Bottom of Page)"/>
        <w:docPartUnique/>
      </w:docPartObj>
    </w:sdtPr>
    <w:sdtEndPr/>
    <w:sdtContent>
      <w:p w14:paraId="78E71D38" w14:textId="77777777" w:rsidR="009B7403" w:rsidRDefault="004D24D9">
        <w:pPr>
          <w:pStyle w:val="Piedepgina"/>
          <w:jc w:val="right"/>
        </w:pPr>
        <w:r>
          <w:fldChar w:fldCharType="begin"/>
        </w:r>
        <w:r>
          <w:instrText>PAGE   \* MERGEFORMAT</w:instrText>
        </w:r>
        <w:r>
          <w:fldChar w:fldCharType="separate"/>
        </w:r>
        <w:r w:rsidR="00EE6CF3" w:rsidRPr="00EE6CF3">
          <w:rPr>
            <w:noProof/>
            <w:lang w:val="es-ES"/>
          </w:rPr>
          <w:t>1</w:t>
        </w:r>
        <w:r>
          <w:fldChar w:fldCharType="end"/>
        </w:r>
      </w:p>
    </w:sdtContent>
  </w:sdt>
  <w:p w14:paraId="5558DA4A" w14:textId="2DB2510A" w:rsidR="009B7403" w:rsidRDefault="00B62252">
    <w:pPr>
      <w:pStyle w:val="Piedepgina"/>
    </w:pP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074A18" w14:textId="77777777" w:rsidR="00EE6CF3" w:rsidRDefault="00EE6C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289B7A" w14:textId="77777777" w:rsidR="00B62252" w:rsidRDefault="00B62252" w:rsidP="00B301AA">
      <w:r>
        <w:separator/>
      </w:r>
    </w:p>
  </w:footnote>
  <w:footnote w:type="continuationSeparator" w:id="0">
    <w:p w14:paraId="7C265366" w14:textId="77777777" w:rsidR="00B62252" w:rsidRDefault="00B62252" w:rsidP="00B301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2B2448" w14:textId="77777777" w:rsidR="00EE6CF3" w:rsidRDefault="00EE6CF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1CB60" w14:textId="70577C4C" w:rsidR="00BF7BC5" w:rsidRDefault="002E64F8" w:rsidP="00DA785B">
    <w:pPr>
      <w:pStyle w:val="Encabezado"/>
      <w:ind w:left="-567" w:right="-234"/>
      <w:jc w:val="center"/>
    </w:pPr>
    <w:r w:rsidRPr="002416F8">
      <w:rPr>
        <w:noProof/>
        <w:lang w:val="es-MX" w:eastAsia="es-MX"/>
      </w:rPr>
      <w:drawing>
        <wp:anchor distT="0" distB="0" distL="114300" distR="114300" simplePos="0" relativeHeight="251666944" behindDoc="1" locked="0" layoutInCell="1" allowOverlap="1" wp14:anchorId="6748519D" wp14:editId="1A4A505B">
          <wp:simplePos x="0" y="0"/>
          <wp:positionH relativeFrom="column">
            <wp:posOffset>59197</wp:posOffset>
          </wp:positionH>
          <wp:positionV relativeFrom="paragraph">
            <wp:posOffset>-74324</wp:posOffset>
          </wp:positionV>
          <wp:extent cx="989330" cy="1060450"/>
          <wp:effectExtent l="0" t="0" r="1270" b="635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89330" cy="1060450"/>
                  </a:xfrm>
                  <a:prstGeom prst="rect">
                    <a:avLst/>
                  </a:prstGeom>
                </pic:spPr>
              </pic:pic>
            </a:graphicData>
          </a:graphic>
          <wp14:sizeRelH relativeFrom="page">
            <wp14:pctWidth>0</wp14:pctWidth>
          </wp14:sizeRelH>
          <wp14:sizeRelV relativeFrom="page">
            <wp14:pctHeight>0</wp14:pctHeight>
          </wp14:sizeRelV>
        </wp:anchor>
      </w:drawing>
    </w:r>
    <w:r w:rsidRPr="00B969A7">
      <w:rPr>
        <w:noProof/>
        <w:lang w:val="es-MX" w:eastAsia="es-MX"/>
      </w:rPr>
      <w:drawing>
        <wp:anchor distT="0" distB="0" distL="114300" distR="114300" simplePos="0" relativeHeight="251664896" behindDoc="1" locked="0" layoutInCell="1" allowOverlap="1" wp14:anchorId="4F8A3764" wp14:editId="53DD107B">
          <wp:simplePos x="0" y="0"/>
          <wp:positionH relativeFrom="column">
            <wp:posOffset>5042847</wp:posOffset>
          </wp:positionH>
          <wp:positionV relativeFrom="paragraph">
            <wp:posOffset>-157584</wp:posOffset>
          </wp:positionV>
          <wp:extent cx="962025" cy="408940"/>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962025" cy="408940"/>
                  </a:xfrm>
                  <a:prstGeom prst="rect">
                    <a:avLst/>
                  </a:prstGeom>
                </pic:spPr>
              </pic:pic>
            </a:graphicData>
          </a:graphic>
          <wp14:sizeRelH relativeFrom="page">
            <wp14:pctWidth>0</wp14:pctWidth>
          </wp14:sizeRelH>
          <wp14:sizeRelV relativeFrom="page">
            <wp14:pctHeight>0</wp14:pctHeight>
          </wp14:sizeRelV>
        </wp:anchor>
      </w:drawing>
    </w:r>
  </w:p>
  <w:p w14:paraId="1053C89E" w14:textId="77777777" w:rsidR="00DA785B" w:rsidRDefault="00B62252" w:rsidP="00DA785B">
    <w:pPr>
      <w:pStyle w:val="Encabezado"/>
      <w:ind w:left="-567" w:right="-234"/>
      <w:jc w:val="center"/>
    </w:pPr>
  </w:p>
  <w:p w14:paraId="54DF763B" w14:textId="77777777" w:rsidR="009B7403" w:rsidRDefault="004D24D9" w:rsidP="009B7403">
    <w:pPr>
      <w:pStyle w:val="Encabezado"/>
      <w:tabs>
        <w:tab w:val="clear" w:pos="8504"/>
        <w:tab w:val="left" w:pos="4956"/>
        <w:tab w:val="left" w:pos="5664"/>
      </w:tabs>
      <w:ind w:left="-567" w:right="-234"/>
    </w:pPr>
    <w:r>
      <w:tab/>
    </w:r>
    <w:r>
      <w:tab/>
    </w:r>
    <w:r>
      <w:tab/>
    </w:r>
  </w:p>
  <w:p w14:paraId="5137E8F4" w14:textId="5D82AEE3" w:rsidR="00BF7BC5" w:rsidRPr="009B7403" w:rsidRDefault="004D24D9" w:rsidP="00216A20">
    <w:pPr>
      <w:pStyle w:val="Encabezado"/>
      <w:tabs>
        <w:tab w:val="clear" w:pos="8504"/>
        <w:tab w:val="left" w:pos="4956"/>
        <w:tab w:val="left" w:pos="5664"/>
      </w:tabs>
      <w:ind w:left="-567" w:right="49"/>
      <w:jc w:val="right"/>
      <w:rPr>
        <w:rFonts w:ascii="Arial Narrow" w:hAnsi="Arial Narrow"/>
      </w:rPr>
    </w:pPr>
    <w:r w:rsidRPr="0092008D">
      <w:rPr>
        <w:rFonts w:ascii="Montserrat Medium" w:hAnsi="Montserrat Medium"/>
        <w:noProof/>
        <w:sz w:val="20"/>
        <w:szCs w:val="20"/>
        <w:lang w:val="es-MX" w:eastAsia="es-MX"/>
      </w:rPr>
      <w:drawing>
        <wp:anchor distT="0" distB="0" distL="114300" distR="114300" simplePos="0" relativeHeight="251662848" behindDoc="1" locked="0" layoutInCell="1" allowOverlap="1" wp14:anchorId="0EE33366" wp14:editId="3D379909">
          <wp:simplePos x="0" y="0"/>
          <wp:positionH relativeFrom="column">
            <wp:posOffset>-689292</wp:posOffset>
          </wp:positionH>
          <wp:positionV relativeFrom="paragraph">
            <wp:posOffset>3229949</wp:posOffset>
          </wp:positionV>
          <wp:extent cx="1028700" cy="260985"/>
          <wp:effectExtent l="2857" t="0" r="2858" b="2857"/>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
                    <a:extLst>
                      <a:ext uri="{28A0092B-C50C-407E-A947-70E740481C1C}">
                        <a14:useLocalDpi xmlns:a14="http://schemas.microsoft.com/office/drawing/2010/main" val="0"/>
                      </a:ext>
                    </a:extLst>
                  </a:blip>
                  <a:srcRect l="28027" t="63142" r="60593" b="31722"/>
                  <a:stretch/>
                </pic:blipFill>
                <pic:spPr bwMode="auto">
                  <a:xfrm rot="16200000">
                    <a:off x="0" y="0"/>
                    <a:ext cx="1028700" cy="2609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B7403">
      <w:rPr>
        <w:rFonts w:ascii="Arial Narrow" w:hAnsi="Arial Narrow"/>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81890" w14:textId="77777777" w:rsidR="00EE6CF3" w:rsidRDefault="00EE6CF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126485"/>
    <w:multiLevelType w:val="hybridMultilevel"/>
    <w:tmpl w:val="2C0EA2F4"/>
    <w:lvl w:ilvl="0" w:tplc="080A000D">
      <w:start w:val="1"/>
      <w:numFmt w:val="bullet"/>
      <w:lvlText w:val=""/>
      <w:lvlJc w:val="left"/>
      <w:pPr>
        <w:ind w:left="774" w:hanging="360"/>
      </w:pPr>
      <w:rPr>
        <w:rFonts w:ascii="Wingdings" w:hAnsi="Wingdings" w:hint="default"/>
      </w:rPr>
    </w:lvl>
    <w:lvl w:ilvl="1" w:tplc="080A0003" w:tentative="1">
      <w:start w:val="1"/>
      <w:numFmt w:val="bullet"/>
      <w:lvlText w:val="o"/>
      <w:lvlJc w:val="left"/>
      <w:pPr>
        <w:ind w:left="1494" w:hanging="360"/>
      </w:pPr>
      <w:rPr>
        <w:rFonts w:ascii="Courier New" w:hAnsi="Courier New" w:cs="Courier New" w:hint="default"/>
      </w:rPr>
    </w:lvl>
    <w:lvl w:ilvl="2" w:tplc="080A0005" w:tentative="1">
      <w:start w:val="1"/>
      <w:numFmt w:val="bullet"/>
      <w:lvlText w:val=""/>
      <w:lvlJc w:val="left"/>
      <w:pPr>
        <w:ind w:left="2214" w:hanging="360"/>
      </w:pPr>
      <w:rPr>
        <w:rFonts w:ascii="Wingdings" w:hAnsi="Wingdings" w:hint="default"/>
      </w:rPr>
    </w:lvl>
    <w:lvl w:ilvl="3" w:tplc="080A0001" w:tentative="1">
      <w:start w:val="1"/>
      <w:numFmt w:val="bullet"/>
      <w:lvlText w:val=""/>
      <w:lvlJc w:val="left"/>
      <w:pPr>
        <w:ind w:left="2934" w:hanging="360"/>
      </w:pPr>
      <w:rPr>
        <w:rFonts w:ascii="Symbol" w:hAnsi="Symbol" w:hint="default"/>
      </w:rPr>
    </w:lvl>
    <w:lvl w:ilvl="4" w:tplc="080A0003" w:tentative="1">
      <w:start w:val="1"/>
      <w:numFmt w:val="bullet"/>
      <w:lvlText w:val="o"/>
      <w:lvlJc w:val="left"/>
      <w:pPr>
        <w:ind w:left="3654" w:hanging="360"/>
      </w:pPr>
      <w:rPr>
        <w:rFonts w:ascii="Courier New" w:hAnsi="Courier New" w:cs="Courier New" w:hint="default"/>
      </w:rPr>
    </w:lvl>
    <w:lvl w:ilvl="5" w:tplc="080A0005" w:tentative="1">
      <w:start w:val="1"/>
      <w:numFmt w:val="bullet"/>
      <w:lvlText w:val=""/>
      <w:lvlJc w:val="left"/>
      <w:pPr>
        <w:ind w:left="4374" w:hanging="360"/>
      </w:pPr>
      <w:rPr>
        <w:rFonts w:ascii="Wingdings" w:hAnsi="Wingdings" w:hint="default"/>
      </w:rPr>
    </w:lvl>
    <w:lvl w:ilvl="6" w:tplc="080A0001" w:tentative="1">
      <w:start w:val="1"/>
      <w:numFmt w:val="bullet"/>
      <w:lvlText w:val=""/>
      <w:lvlJc w:val="left"/>
      <w:pPr>
        <w:ind w:left="5094" w:hanging="360"/>
      </w:pPr>
      <w:rPr>
        <w:rFonts w:ascii="Symbol" w:hAnsi="Symbol" w:hint="default"/>
      </w:rPr>
    </w:lvl>
    <w:lvl w:ilvl="7" w:tplc="080A0003" w:tentative="1">
      <w:start w:val="1"/>
      <w:numFmt w:val="bullet"/>
      <w:lvlText w:val="o"/>
      <w:lvlJc w:val="left"/>
      <w:pPr>
        <w:ind w:left="5814" w:hanging="360"/>
      </w:pPr>
      <w:rPr>
        <w:rFonts w:ascii="Courier New" w:hAnsi="Courier New" w:cs="Courier New" w:hint="default"/>
      </w:rPr>
    </w:lvl>
    <w:lvl w:ilvl="8" w:tplc="080A0005" w:tentative="1">
      <w:start w:val="1"/>
      <w:numFmt w:val="bullet"/>
      <w:lvlText w:val=""/>
      <w:lvlJc w:val="left"/>
      <w:pPr>
        <w:ind w:left="6534" w:hanging="360"/>
      </w:pPr>
      <w:rPr>
        <w:rFonts w:ascii="Wingdings" w:hAnsi="Wingdings" w:hint="default"/>
      </w:rPr>
    </w:lvl>
  </w:abstractNum>
  <w:abstractNum w:abstractNumId="1">
    <w:nsid w:val="1BBE713F"/>
    <w:multiLevelType w:val="hybridMultilevel"/>
    <w:tmpl w:val="5F56FA34"/>
    <w:lvl w:ilvl="0" w:tplc="63BE05EE">
      <w:start w:val="1"/>
      <w:numFmt w:val="upperLetter"/>
      <w:lvlText w:val="%1)"/>
      <w:lvlJc w:val="left"/>
      <w:pPr>
        <w:ind w:left="1069" w:hanging="360"/>
      </w:pPr>
      <w:rPr>
        <w:rFonts w:ascii="Arial" w:eastAsia="Calibri" w:hAnsi="Arial"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1ECC3F93"/>
    <w:multiLevelType w:val="hybridMultilevel"/>
    <w:tmpl w:val="E320C4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CD553B9"/>
    <w:multiLevelType w:val="hybridMultilevel"/>
    <w:tmpl w:val="0CDA678E"/>
    <w:lvl w:ilvl="0" w:tplc="76DC7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5628049C"/>
    <w:multiLevelType w:val="hybridMultilevel"/>
    <w:tmpl w:val="290030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606E1E4E"/>
    <w:multiLevelType w:val="hybridMultilevel"/>
    <w:tmpl w:val="BBE4AB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68943C29"/>
    <w:multiLevelType w:val="hybridMultilevel"/>
    <w:tmpl w:val="5F56FA34"/>
    <w:lvl w:ilvl="0" w:tplc="63BE05EE">
      <w:start w:val="1"/>
      <w:numFmt w:val="upperLetter"/>
      <w:lvlText w:val="%1)"/>
      <w:lvlJc w:val="left"/>
      <w:pPr>
        <w:ind w:left="1069" w:hanging="360"/>
      </w:pPr>
      <w:rPr>
        <w:rFonts w:ascii="Arial" w:eastAsia="Calibri" w:hAnsi="Arial"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7CB50D18"/>
    <w:multiLevelType w:val="hybridMultilevel"/>
    <w:tmpl w:val="D688B778"/>
    <w:lvl w:ilvl="0" w:tplc="FE909816">
      <w:start w:val="1"/>
      <w:numFmt w:val="bullet"/>
      <w:lvlText w:val=""/>
      <w:lvlJc w:val="left"/>
      <w:pPr>
        <w:ind w:left="1854" w:hanging="360"/>
      </w:pPr>
      <w:rPr>
        <w:rFonts w:ascii="Symbol" w:hAnsi="Symbol" w:hint="default"/>
      </w:rPr>
    </w:lvl>
    <w:lvl w:ilvl="1" w:tplc="080A0003" w:tentative="1">
      <w:start w:val="1"/>
      <w:numFmt w:val="bullet"/>
      <w:lvlText w:val="o"/>
      <w:lvlJc w:val="left"/>
      <w:pPr>
        <w:ind w:left="2574" w:hanging="360"/>
      </w:pPr>
      <w:rPr>
        <w:rFonts w:ascii="Courier New" w:hAnsi="Courier New" w:cs="Courier New" w:hint="default"/>
      </w:rPr>
    </w:lvl>
    <w:lvl w:ilvl="2" w:tplc="080A0005" w:tentative="1">
      <w:start w:val="1"/>
      <w:numFmt w:val="bullet"/>
      <w:lvlText w:val=""/>
      <w:lvlJc w:val="left"/>
      <w:pPr>
        <w:ind w:left="3294" w:hanging="360"/>
      </w:pPr>
      <w:rPr>
        <w:rFonts w:ascii="Wingdings" w:hAnsi="Wingdings" w:hint="default"/>
      </w:rPr>
    </w:lvl>
    <w:lvl w:ilvl="3" w:tplc="080A0001" w:tentative="1">
      <w:start w:val="1"/>
      <w:numFmt w:val="bullet"/>
      <w:lvlText w:val=""/>
      <w:lvlJc w:val="left"/>
      <w:pPr>
        <w:ind w:left="4014" w:hanging="360"/>
      </w:pPr>
      <w:rPr>
        <w:rFonts w:ascii="Symbol" w:hAnsi="Symbol" w:hint="default"/>
      </w:rPr>
    </w:lvl>
    <w:lvl w:ilvl="4" w:tplc="080A0003" w:tentative="1">
      <w:start w:val="1"/>
      <w:numFmt w:val="bullet"/>
      <w:lvlText w:val="o"/>
      <w:lvlJc w:val="left"/>
      <w:pPr>
        <w:ind w:left="4734" w:hanging="360"/>
      </w:pPr>
      <w:rPr>
        <w:rFonts w:ascii="Courier New" w:hAnsi="Courier New" w:cs="Courier New" w:hint="default"/>
      </w:rPr>
    </w:lvl>
    <w:lvl w:ilvl="5" w:tplc="080A0005" w:tentative="1">
      <w:start w:val="1"/>
      <w:numFmt w:val="bullet"/>
      <w:lvlText w:val=""/>
      <w:lvlJc w:val="left"/>
      <w:pPr>
        <w:ind w:left="5454" w:hanging="360"/>
      </w:pPr>
      <w:rPr>
        <w:rFonts w:ascii="Wingdings" w:hAnsi="Wingdings" w:hint="default"/>
      </w:rPr>
    </w:lvl>
    <w:lvl w:ilvl="6" w:tplc="080A0001" w:tentative="1">
      <w:start w:val="1"/>
      <w:numFmt w:val="bullet"/>
      <w:lvlText w:val=""/>
      <w:lvlJc w:val="left"/>
      <w:pPr>
        <w:ind w:left="6174" w:hanging="360"/>
      </w:pPr>
      <w:rPr>
        <w:rFonts w:ascii="Symbol" w:hAnsi="Symbol" w:hint="default"/>
      </w:rPr>
    </w:lvl>
    <w:lvl w:ilvl="7" w:tplc="080A0003" w:tentative="1">
      <w:start w:val="1"/>
      <w:numFmt w:val="bullet"/>
      <w:lvlText w:val="o"/>
      <w:lvlJc w:val="left"/>
      <w:pPr>
        <w:ind w:left="6894" w:hanging="360"/>
      </w:pPr>
      <w:rPr>
        <w:rFonts w:ascii="Courier New" w:hAnsi="Courier New" w:cs="Courier New" w:hint="default"/>
      </w:rPr>
    </w:lvl>
    <w:lvl w:ilvl="8" w:tplc="080A0005" w:tentative="1">
      <w:start w:val="1"/>
      <w:numFmt w:val="bullet"/>
      <w:lvlText w:val=""/>
      <w:lvlJc w:val="left"/>
      <w:pPr>
        <w:ind w:left="7614" w:hanging="360"/>
      </w:pPr>
      <w:rPr>
        <w:rFonts w:ascii="Wingdings" w:hAnsi="Wingdings" w:hint="default"/>
      </w:rPr>
    </w:lvl>
  </w:abstractNum>
  <w:abstractNum w:abstractNumId="8">
    <w:nsid w:val="7DF44656"/>
    <w:multiLevelType w:val="hybridMultilevel"/>
    <w:tmpl w:val="5F56FA34"/>
    <w:lvl w:ilvl="0" w:tplc="63BE05EE">
      <w:start w:val="1"/>
      <w:numFmt w:val="upperLetter"/>
      <w:lvlText w:val="%1)"/>
      <w:lvlJc w:val="left"/>
      <w:pPr>
        <w:ind w:left="1069" w:hanging="360"/>
      </w:pPr>
      <w:rPr>
        <w:rFonts w:ascii="Arial" w:eastAsia="Calibri" w:hAnsi="Arial"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6"/>
  </w:num>
  <w:num w:numId="3">
    <w:abstractNumId w:val="8"/>
  </w:num>
  <w:num w:numId="4">
    <w:abstractNumId w:val="2"/>
  </w:num>
  <w:num w:numId="5">
    <w:abstractNumId w:val="0"/>
  </w:num>
  <w:num w:numId="6">
    <w:abstractNumId w:val="7"/>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1AA"/>
    <w:rsid w:val="00002F29"/>
    <w:rsid w:val="00060611"/>
    <w:rsid w:val="00093715"/>
    <w:rsid w:val="000A31CF"/>
    <w:rsid w:val="00101337"/>
    <w:rsid w:val="001979CC"/>
    <w:rsid w:val="001A382B"/>
    <w:rsid w:val="001C75D1"/>
    <w:rsid w:val="001D6079"/>
    <w:rsid w:val="001D72CE"/>
    <w:rsid w:val="00216A20"/>
    <w:rsid w:val="002B72E8"/>
    <w:rsid w:val="002E2D72"/>
    <w:rsid w:val="002E64F8"/>
    <w:rsid w:val="00321708"/>
    <w:rsid w:val="00345CE7"/>
    <w:rsid w:val="003D5B15"/>
    <w:rsid w:val="004200B2"/>
    <w:rsid w:val="004201FD"/>
    <w:rsid w:val="00464C92"/>
    <w:rsid w:val="00473646"/>
    <w:rsid w:val="00484F2D"/>
    <w:rsid w:val="004D24D9"/>
    <w:rsid w:val="004D6E5F"/>
    <w:rsid w:val="004E247A"/>
    <w:rsid w:val="00517FB4"/>
    <w:rsid w:val="00531A88"/>
    <w:rsid w:val="00535A56"/>
    <w:rsid w:val="00567D39"/>
    <w:rsid w:val="005B0C15"/>
    <w:rsid w:val="005D47EC"/>
    <w:rsid w:val="006071AC"/>
    <w:rsid w:val="00635101"/>
    <w:rsid w:val="006553A7"/>
    <w:rsid w:val="00664FB1"/>
    <w:rsid w:val="00691F8E"/>
    <w:rsid w:val="007827FE"/>
    <w:rsid w:val="00794AA4"/>
    <w:rsid w:val="007A432F"/>
    <w:rsid w:val="007D6948"/>
    <w:rsid w:val="007E0B48"/>
    <w:rsid w:val="007F14CC"/>
    <w:rsid w:val="007F424C"/>
    <w:rsid w:val="008348A3"/>
    <w:rsid w:val="008443F4"/>
    <w:rsid w:val="008547A0"/>
    <w:rsid w:val="00863E74"/>
    <w:rsid w:val="008A2B3B"/>
    <w:rsid w:val="008A7EDF"/>
    <w:rsid w:val="008B7CF7"/>
    <w:rsid w:val="008F4A10"/>
    <w:rsid w:val="009018D7"/>
    <w:rsid w:val="0091295E"/>
    <w:rsid w:val="0092008D"/>
    <w:rsid w:val="009952CA"/>
    <w:rsid w:val="00A32E5D"/>
    <w:rsid w:val="00AB3E25"/>
    <w:rsid w:val="00AB3FB5"/>
    <w:rsid w:val="00AF6D49"/>
    <w:rsid w:val="00B04474"/>
    <w:rsid w:val="00B301AA"/>
    <w:rsid w:val="00B62119"/>
    <w:rsid w:val="00B62252"/>
    <w:rsid w:val="00BD3645"/>
    <w:rsid w:val="00BF4E0D"/>
    <w:rsid w:val="00C02CEA"/>
    <w:rsid w:val="00C02FC5"/>
    <w:rsid w:val="00C07B14"/>
    <w:rsid w:val="00C124DC"/>
    <w:rsid w:val="00C4145C"/>
    <w:rsid w:val="00C719F5"/>
    <w:rsid w:val="00C974D4"/>
    <w:rsid w:val="00CB2F34"/>
    <w:rsid w:val="00CE6AB4"/>
    <w:rsid w:val="00D01E0C"/>
    <w:rsid w:val="00D10EDB"/>
    <w:rsid w:val="00D24C36"/>
    <w:rsid w:val="00D41841"/>
    <w:rsid w:val="00D66D65"/>
    <w:rsid w:val="00DD4B1B"/>
    <w:rsid w:val="00DF1B9B"/>
    <w:rsid w:val="00E616C2"/>
    <w:rsid w:val="00E65987"/>
    <w:rsid w:val="00E83E36"/>
    <w:rsid w:val="00E90ACD"/>
    <w:rsid w:val="00EA74E2"/>
    <w:rsid w:val="00EB7025"/>
    <w:rsid w:val="00EE6CF3"/>
    <w:rsid w:val="00EF6B92"/>
    <w:rsid w:val="00FC7B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3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1AA"/>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301AA"/>
    <w:pPr>
      <w:tabs>
        <w:tab w:val="center" w:pos="4252"/>
        <w:tab w:val="right" w:pos="8504"/>
      </w:tabs>
    </w:pPr>
  </w:style>
  <w:style w:type="character" w:customStyle="1" w:styleId="EncabezadoCar">
    <w:name w:val="Encabezado Car"/>
    <w:basedOn w:val="Fuentedeprrafopredeter"/>
    <w:link w:val="Encabezado"/>
    <w:uiPriority w:val="99"/>
    <w:rsid w:val="00B301AA"/>
    <w:rPr>
      <w:rFonts w:eastAsiaTheme="minorEastAsia"/>
      <w:sz w:val="24"/>
      <w:szCs w:val="24"/>
      <w:lang w:val="es-ES_tradnl" w:eastAsia="es-ES"/>
    </w:rPr>
  </w:style>
  <w:style w:type="paragraph" w:styleId="Sinespaciado">
    <w:name w:val="No Spacing"/>
    <w:uiPriority w:val="1"/>
    <w:qFormat/>
    <w:rsid w:val="00B301AA"/>
    <w:pPr>
      <w:spacing w:after="0" w:line="240" w:lineRule="auto"/>
    </w:pPr>
    <w:rPr>
      <w:rFonts w:eastAsiaTheme="minorEastAsia"/>
      <w:sz w:val="24"/>
      <w:szCs w:val="24"/>
      <w:lang w:val="es-ES_tradnl" w:eastAsia="es-ES"/>
    </w:rPr>
  </w:style>
  <w:style w:type="table" w:styleId="Tablaconcuadrcula">
    <w:name w:val="Table Grid"/>
    <w:basedOn w:val="Tablanormal"/>
    <w:uiPriority w:val="59"/>
    <w:rsid w:val="00B301AA"/>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B301AA"/>
    <w:pPr>
      <w:tabs>
        <w:tab w:val="center" w:pos="4419"/>
        <w:tab w:val="right" w:pos="8838"/>
      </w:tabs>
    </w:pPr>
  </w:style>
  <w:style w:type="character" w:customStyle="1" w:styleId="PiedepginaCar">
    <w:name w:val="Pie de página Car"/>
    <w:basedOn w:val="Fuentedeprrafopredeter"/>
    <w:link w:val="Piedepgina"/>
    <w:uiPriority w:val="99"/>
    <w:rsid w:val="00B301AA"/>
    <w:rPr>
      <w:rFonts w:eastAsiaTheme="minorEastAsia"/>
      <w:sz w:val="24"/>
      <w:szCs w:val="24"/>
      <w:lang w:val="es-ES_tradnl" w:eastAsia="es-ES"/>
    </w:rPr>
  </w:style>
  <w:style w:type="character" w:styleId="Hipervnculo">
    <w:name w:val="Hyperlink"/>
    <w:basedOn w:val="Fuentedeprrafopredeter"/>
    <w:uiPriority w:val="99"/>
    <w:unhideWhenUsed/>
    <w:rsid w:val="00B301AA"/>
    <w:rPr>
      <w:color w:val="0000FF" w:themeColor="hyperlink"/>
      <w:u w:val="single"/>
    </w:rPr>
  </w:style>
  <w:style w:type="paragraph" w:styleId="Textodeglobo">
    <w:name w:val="Balloon Text"/>
    <w:basedOn w:val="Normal"/>
    <w:link w:val="TextodegloboCar"/>
    <w:uiPriority w:val="99"/>
    <w:semiHidden/>
    <w:unhideWhenUsed/>
    <w:rsid w:val="00B301AA"/>
    <w:rPr>
      <w:rFonts w:ascii="Tahoma" w:hAnsi="Tahoma" w:cs="Tahoma"/>
      <w:sz w:val="16"/>
      <w:szCs w:val="16"/>
    </w:rPr>
  </w:style>
  <w:style w:type="character" w:customStyle="1" w:styleId="TextodegloboCar">
    <w:name w:val="Texto de globo Car"/>
    <w:basedOn w:val="Fuentedeprrafopredeter"/>
    <w:link w:val="Textodeglobo"/>
    <w:uiPriority w:val="99"/>
    <w:semiHidden/>
    <w:rsid w:val="00B301AA"/>
    <w:rPr>
      <w:rFonts w:ascii="Tahoma" w:eastAsiaTheme="minorEastAsia" w:hAnsi="Tahoma" w:cs="Tahoma"/>
      <w:sz w:val="16"/>
      <w:szCs w:val="16"/>
      <w:lang w:val="es-ES_tradnl" w:eastAsia="es-ES"/>
    </w:rPr>
  </w:style>
  <w:style w:type="paragraph" w:customStyle="1" w:styleId="Default">
    <w:name w:val="Default"/>
    <w:rsid w:val="00BD36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edesolCar">
    <w:name w:val="Sedesol Car"/>
    <w:link w:val="Sedesol"/>
    <w:locked/>
    <w:rsid w:val="00101337"/>
    <w:rPr>
      <w:rFonts w:ascii="Adobe Caslon Pro" w:eastAsia="Cambria" w:hAnsi="Adobe Caslon Pro" w:cs="Times New Roman"/>
      <w:color w:val="626464"/>
      <w:sz w:val="24"/>
      <w:szCs w:val="24"/>
    </w:rPr>
  </w:style>
  <w:style w:type="paragraph" w:customStyle="1" w:styleId="Sedesol">
    <w:name w:val="Sedesol"/>
    <w:basedOn w:val="Sinespaciado"/>
    <w:link w:val="SedesolCar"/>
    <w:qFormat/>
    <w:rsid w:val="00101337"/>
    <w:pPr>
      <w:jc w:val="both"/>
    </w:pPr>
    <w:rPr>
      <w:rFonts w:ascii="Adobe Caslon Pro" w:eastAsia="Cambria" w:hAnsi="Adobe Caslon Pro" w:cs="Times New Roman"/>
      <w:color w:val="626464"/>
      <w:lang w:val="es-MX" w:eastAsia="en-US"/>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FA Fu?notentext,Ca,ADB,single space"/>
    <w:basedOn w:val="Normal"/>
    <w:link w:val="TextonotapieCar"/>
    <w:uiPriority w:val="99"/>
    <w:unhideWhenUsed/>
    <w:qFormat/>
    <w:rsid w:val="008A2B3B"/>
    <w:rPr>
      <w:rFonts w:ascii="Times New Roman" w:eastAsia="Times New Roman" w:hAnsi="Times New Roman" w:cs="Times New Roman"/>
      <w:sz w:val="20"/>
      <w:szCs w:val="20"/>
      <w:lang w:val="en-US" w:eastAsia="en-US"/>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FA Fu?notentext Car"/>
    <w:basedOn w:val="Fuentedeprrafopredeter"/>
    <w:link w:val="Textonotapie"/>
    <w:uiPriority w:val="99"/>
    <w:rsid w:val="008A2B3B"/>
    <w:rPr>
      <w:rFonts w:ascii="Times New Roman" w:eastAsia="Times New Roman" w:hAnsi="Times New Roman" w:cs="Times New Roman"/>
      <w:sz w:val="20"/>
      <w:szCs w:val="20"/>
      <w:lang w:val="en-US"/>
    </w:rPr>
  </w:style>
  <w:style w:type="character" w:styleId="Refdenotaalpie">
    <w:name w:val="footnote reference"/>
    <w:aliases w:val="Ref,de nota al pie,ftref,BVI fnr,16 Point,Superscript 6 Point,(Diplomarbeit FZ),Texto de nota al pie,Footnotes refss,Appel note de bas de page,Footnote number,referencia nota al pie,f,Footnote Reference,Ref. de nota al pie1,4_G"/>
    <w:uiPriority w:val="99"/>
    <w:unhideWhenUsed/>
    <w:qFormat/>
    <w:rsid w:val="008A2B3B"/>
    <w:rPr>
      <w:vertAlign w:val="superscript"/>
    </w:rPr>
  </w:style>
  <w:style w:type="character" w:styleId="Refdecomentario">
    <w:name w:val="annotation reference"/>
    <w:basedOn w:val="Fuentedeprrafopredeter"/>
    <w:uiPriority w:val="99"/>
    <w:semiHidden/>
    <w:unhideWhenUsed/>
    <w:rsid w:val="005B0C15"/>
    <w:rPr>
      <w:sz w:val="16"/>
      <w:szCs w:val="16"/>
    </w:rPr>
  </w:style>
  <w:style w:type="paragraph" w:styleId="Textocomentario">
    <w:name w:val="annotation text"/>
    <w:basedOn w:val="Normal"/>
    <w:link w:val="TextocomentarioCar"/>
    <w:uiPriority w:val="99"/>
    <w:semiHidden/>
    <w:unhideWhenUsed/>
    <w:rsid w:val="005B0C15"/>
    <w:rPr>
      <w:sz w:val="20"/>
      <w:szCs w:val="20"/>
    </w:rPr>
  </w:style>
  <w:style w:type="character" w:customStyle="1" w:styleId="TextocomentarioCar">
    <w:name w:val="Texto comentario Car"/>
    <w:basedOn w:val="Fuentedeprrafopredeter"/>
    <w:link w:val="Textocomentario"/>
    <w:uiPriority w:val="99"/>
    <w:semiHidden/>
    <w:rsid w:val="005B0C15"/>
    <w:rPr>
      <w:rFonts w:eastAsiaTheme="minorEastAsia"/>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5B0C15"/>
    <w:rPr>
      <w:b/>
      <w:bCs/>
    </w:rPr>
  </w:style>
  <w:style w:type="character" w:customStyle="1" w:styleId="AsuntodelcomentarioCar">
    <w:name w:val="Asunto del comentario Car"/>
    <w:basedOn w:val="TextocomentarioCar"/>
    <w:link w:val="Asuntodelcomentario"/>
    <w:uiPriority w:val="99"/>
    <w:semiHidden/>
    <w:rsid w:val="005B0C15"/>
    <w:rPr>
      <w:rFonts w:eastAsiaTheme="minorEastAsia"/>
      <w:b/>
      <w:bCs/>
      <w:sz w:val="20"/>
      <w:szCs w:val="20"/>
      <w:lang w:val="es-ES_tradnl" w:eastAsia="es-ES"/>
    </w:rPr>
  </w:style>
  <w:style w:type="character" w:customStyle="1" w:styleId="UnresolvedMention">
    <w:name w:val="Unresolved Mention"/>
    <w:basedOn w:val="Fuentedeprrafopredeter"/>
    <w:uiPriority w:val="99"/>
    <w:semiHidden/>
    <w:unhideWhenUsed/>
    <w:rsid w:val="002B72E8"/>
    <w:rPr>
      <w:color w:val="605E5C"/>
      <w:shd w:val="clear" w:color="auto" w:fill="E1DFDD"/>
    </w:rPr>
  </w:style>
  <w:style w:type="paragraph" w:customStyle="1" w:styleId="Texto">
    <w:name w:val="Texto"/>
    <w:basedOn w:val="Normal"/>
    <w:rsid w:val="008348A3"/>
    <w:pPr>
      <w:spacing w:after="101" w:line="216" w:lineRule="exact"/>
      <w:ind w:firstLine="288"/>
      <w:jc w:val="both"/>
    </w:pPr>
    <w:rPr>
      <w:rFonts w:ascii="Arial" w:eastAsia="Times New Roman" w:hAnsi="Arial" w:cs="Arial"/>
      <w:sz w:val="18"/>
      <w:szCs w:val="20"/>
      <w:lang w:val="es-ES"/>
    </w:rPr>
  </w:style>
  <w:style w:type="paragraph" w:customStyle="1" w:styleId="ROMANOS">
    <w:name w:val="ROMANOS"/>
    <w:basedOn w:val="Normal"/>
    <w:rsid w:val="008348A3"/>
    <w:pPr>
      <w:tabs>
        <w:tab w:val="left" w:pos="720"/>
      </w:tabs>
      <w:spacing w:after="101" w:line="216" w:lineRule="exact"/>
      <w:ind w:left="720" w:hanging="432"/>
      <w:jc w:val="both"/>
    </w:pPr>
    <w:rPr>
      <w:rFonts w:ascii="Arial" w:eastAsia="Times New Roman" w:hAnsi="Arial" w:cs="Arial"/>
      <w:sz w:val="18"/>
      <w:szCs w:val="18"/>
      <w:lang w:val="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92008D"/>
    <w:pPr>
      <w:ind w:left="720"/>
      <w:contextualSpacing/>
    </w:pPr>
    <w:rPr>
      <w:rFonts w:ascii="Century Gothic" w:eastAsia="Times New Roman" w:hAnsi="Century Gothic" w:cs="Times New Roman"/>
      <w:sz w:val="22"/>
      <w:lang w:val="es-MX"/>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92008D"/>
    <w:rPr>
      <w:rFonts w:ascii="Century Gothic" w:eastAsia="Times New Roman" w:hAnsi="Century Gothic" w:cs="Times New Roman"/>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1AA"/>
    <w:pPr>
      <w:spacing w:after="0" w:line="240" w:lineRule="auto"/>
    </w:pPr>
    <w:rPr>
      <w:rFonts w:eastAsiaTheme="minorEastAsia"/>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301AA"/>
    <w:pPr>
      <w:tabs>
        <w:tab w:val="center" w:pos="4252"/>
        <w:tab w:val="right" w:pos="8504"/>
      </w:tabs>
    </w:pPr>
  </w:style>
  <w:style w:type="character" w:customStyle="1" w:styleId="EncabezadoCar">
    <w:name w:val="Encabezado Car"/>
    <w:basedOn w:val="Fuentedeprrafopredeter"/>
    <w:link w:val="Encabezado"/>
    <w:uiPriority w:val="99"/>
    <w:rsid w:val="00B301AA"/>
    <w:rPr>
      <w:rFonts w:eastAsiaTheme="minorEastAsia"/>
      <w:sz w:val="24"/>
      <w:szCs w:val="24"/>
      <w:lang w:val="es-ES_tradnl" w:eastAsia="es-ES"/>
    </w:rPr>
  </w:style>
  <w:style w:type="paragraph" w:styleId="Sinespaciado">
    <w:name w:val="No Spacing"/>
    <w:uiPriority w:val="1"/>
    <w:qFormat/>
    <w:rsid w:val="00B301AA"/>
    <w:pPr>
      <w:spacing w:after="0" w:line="240" w:lineRule="auto"/>
    </w:pPr>
    <w:rPr>
      <w:rFonts w:eastAsiaTheme="minorEastAsia"/>
      <w:sz w:val="24"/>
      <w:szCs w:val="24"/>
      <w:lang w:val="es-ES_tradnl" w:eastAsia="es-ES"/>
    </w:rPr>
  </w:style>
  <w:style w:type="table" w:styleId="Tablaconcuadrcula">
    <w:name w:val="Table Grid"/>
    <w:basedOn w:val="Tablanormal"/>
    <w:uiPriority w:val="59"/>
    <w:rsid w:val="00B301AA"/>
    <w:pPr>
      <w:spacing w:after="0" w:line="240" w:lineRule="auto"/>
    </w:pPr>
    <w:rPr>
      <w:rFonts w:eastAsiaTheme="minorEastAsia"/>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B301AA"/>
    <w:pPr>
      <w:tabs>
        <w:tab w:val="center" w:pos="4419"/>
        <w:tab w:val="right" w:pos="8838"/>
      </w:tabs>
    </w:pPr>
  </w:style>
  <w:style w:type="character" w:customStyle="1" w:styleId="PiedepginaCar">
    <w:name w:val="Pie de página Car"/>
    <w:basedOn w:val="Fuentedeprrafopredeter"/>
    <w:link w:val="Piedepgina"/>
    <w:uiPriority w:val="99"/>
    <w:rsid w:val="00B301AA"/>
    <w:rPr>
      <w:rFonts w:eastAsiaTheme="minorEastAsia"/>
      <w:sz w:val="24"/>
      <w:szCs w:val="24"/>
      <w:lang w:val="es-ES_tradnl" w:eastAsia="es-ES"/>
    </w:rPr>
  </w:style>
  <w:style w:type="character" w:styleId="Hipervnculo">
    <w:name w:val="Hyperlink"/>
    <w:basedOn w:val="Fuentedeprrafopredeter"/>
    <w:uiPriority w:val="99"/>
    <w:unhideWhenUsed/>
    <w:rsid w:val="00B301AA"/>
    <w:rPr>
      <w:color w:val="0000FF" w:themeColor="hyperlink"/>
      <w:u w:val="single"/>
    </w:rPr>
  </w:style>
  <w:style w:type="paragraph" w:styleId="Textodeglobo">
    <w:name w:val="Balloon Text"/>
    <w:basedOn w:val="Normal"/>
    <w:link w:val="TextodegloboCar"/>
    <w:uiPriority w:val="99"/>
    <w:semiHidden/>
    <w:unhideWhenUsed/>
    <w:rsid w:val="00B301AA"/>
    <w:rPr>
      <w:rFonts w:ascii="Tahoma" w:hAnsi="Tahoma" w:cs="Tahoma"/>
      <w:sz w:val="16"/>
      <w:szCs w:val="16"/>
    </w:rPr>
  </w:style>
  <w:style w:type="character" w:customStyle="1" w:styleId="TextodegloboCar">
    <w:name w:val="Texto de globo Car"/>
    <w:basedOn w:val="Fuentedeprrafopredeter"/>
    <w:link w:val="Textodeglobo"/>
    <w:uiPriority w:val="99"/>
    <w:semiHidden/>
    <w:rsid w:val="00B301AA"/>
    <w:rPr>
      <w:rFonts w:ascii="Tahoma" w:eastAsiaTheme="minorEastAsia" w:hAnsi="Tahoma" w:cs="Tahoma"/>
      <w:sz w:val="16"/>
      <w:szCs w:val="16"/>
      <w:lang w:val="es-ES_tradnl" w:eastAsia="es-ES"/>
    </w:rPr>
  </w:style>
  <w:style w:type="paragraph" w:customStyle="1" w:styleId="Default">
    <w:name w:val="Default"/>
    <w:rsid w:val="00BD364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edesolCar">
    <w:name w:val="Sedesol Car"/>
    <w:link w:val="Sedesol"/>
    <w:locked/>
    <w:rsid w:val="00101337"/>
    <w:rPr>
      <w:rFonts w:ascii="Adobe Caslon Pro" w:eastAsia="Cambria" w:hAnsi="Adobe Caslon Pro" w:cs="Times New Roman"/>
      <w:color w:val="626464"/>
      <w:sz w:val="24"/>
      <w:szCs w:val="24"/>
    </w:rPr>
  </w:style>
  <w:style w:type="paragraph" w:customStyle="1" w:styleId="Sedesol">
    <w:name w:val="Sedesol"/>
    <w:basedOn w:val="Sinespaciado"/>
    <w:link w:val="SedesolCar"/>
    <w:qFormat/>
    <w:rsid w:val="00101337"/>
    <w:pPr>
      <w:jc w:val="both"/>
    </w:pPr>
    <w:rPr>
      <w:rFonts w:ascii="Adobe Caslon Pro" w:eastAsia="Cambria" w:hAnsi="Adobe Caslon Pro" w:cs="Times New Roman"/>
      <w:color w:val="626464"/>
      <w:lang w:val="es-MX" w:eastAsia="en-US"/>
    </w:rPr>
  </w:style>
  <w:style w:type="paragraph" w:styleId="Textonotapie">
    <w:name w:val="footnote text"/>
    <w:aliases w:val="Footnote reference,FA Fu,Footnote Text Char Char Char Char Char,Footnote Text Char Char Char Char,Footnote Text Char Char Char,Footnote Text Cha,FA Fußnotentext,FA Fuﬂnotentext,Footnote Text Char Char,FA Fu?notentext,Ca,ADB,single space"/>
    <w:basedOn w:val="Normal"/>
    <w:link w:val="TextonotapieCar"/>
    <w:uiPriority w:val="99"/>
    <w:unhideWhenUsed/>
    <w:qFormat/>
    <w:rsid w:val="008A2B3B"/>
    <w:rPr>
      <w:rFonts w:ascii="Times New Roman" w:eastAsia="Times New Roman" w:hAnsi="Times New Roman" w:cs="Times New Roman"/>
      <w:sz w:val="20"/>
      <w:szCs w:val="20"/>
      <w:lang w:val="en-US" w:eastAsia="en-US"/>
    </w:rPr>
  </w:style>
  <w:style w:type="character" w:customStyle="1" w:styleId="TextonotapieCar">
    <w:name w:val="Texto nota pie Car"/>
    <w:aliases w:val="Footnote reference Car,FA Fu Car,Footnote Text Char Char Char Char Char Car,Footnote Text Char Char Char Char Car,Footnote Text Char Char Char Car,Footnote Text Cha Car,FA Fußnotentext Car,FA Fuﬂnotentext Car,FA Fu?notentext Car"/>
    <w:basedOn w:val="Fuentedeprrafopredeter"/>
    <w:link w:val="Textonotapie"/>
    <w:uiPriority w:val="99"/>
    <w:rsid w:val="008A2B3B"/>
    <w:rPr>
      <w:rFonts w:ascii="Times New Roman" w:eastAsia="Times New Roman" w:hAnsi="Times New Roman" w:cs="Times New Roman"/>
      <w:sz w:val="20"/>
      <w:szCs w:val="20"/>
      <w:lang w:val="en-US"/>
    </w:rPr>
  </w:style>
  <w:style w:type="character" w:styleId="Refdenotaalpie">
    <w:name w:val="footnote reference"/>
    <w:aliases w:val="Ref,de nota al pie,ftref,BVI fnr,16 Point,Superscript 6 Point,(Diplomarbeit FZ),Texto de nota al pie,Footnotes refss,Appel note de bas de page,Footnote number,referencia nota al pie,f,Footnote Reference,Ref. de nota al pie1,4_G"/>
    <w:uiPriority w:val="99"/>
    <w:unhideWhenUsed/>
    <w:qFormat/>
    <w:rsid w:val="008A2B3B"/>
    <w:rPr>
      <w:vertAlign w:val="superscript"/>
    </w:rPr>
  </w:style>
  <w:style w:type="character" w:styleId="Refdecomentario">
    <w:name w:val="annotation reference"/>
    <w:basedOn w:val="Fuentedeprrafopredeter"/>
    <w:uiPriority w:val="99"/>
    <w:semiHidden/>
    <w:unhideWhenUsed/>
    <w:rsid w:val="005B0C15"/>
    <w:rPr>
      <w:sz w:val="16"/>
      <w:szCs w:val="16"/>
    </w:rPr>
  </w:style>
  <w:style w:type="paragraph" w:styleId="Textocomentario">
    <w:name w:val="annotation text"/>
    <w:basedOn w:val="Normal"/>
    <w:link w:val="TextocomentarioCar"/>
    <w:uiPriority w:val="99"/>
    <w:semiHidden/>
    <w:unhideWhenUsed/>
    <w:rsid w:val="005B0C15"/>
    <w:rPr>
      <w:sz w:val="20"/>
      <w:szCs w:val="20"/>
    </w:rPr>
  </w:style>
  <w:style w:type="character" w:customStyle="1" w:styleId="TextocomentarioCar">
    <w:name w:val="Texto comentario Car"/>
    <w:basedOn w:val="Fuentedeprrafopredeter"/>
    <w:link w:val="Textocomentario"/>
    <w:uiPriority w:val="99"/>
    <w:semiHidden/>
    <w:rsid w:val="005B0C15"/>
    <w:rPr>
      <w:rFonts w:eastAsiaTheme="minorEastAsia"/>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5B0C15"/>
    <w:rPr>
      <w:b/>
      <w:bCs/>
    </w:rPr>
  </w:style>
  <w:style w:type="character" w:customStyle="1" w:styleId="AsuntodelcomentarioCar">
    <w:name w:val="Asunto del comentario Car"/>
    <w:basedOn w:val="TextocomentarioCar"/>
    <w:link w:val="Asuntodelcomentario"/>
    <w:uiPriority w:val="99"/>
    <w:semiHidden/>
    <w:rsid w:val="005B0C15"/>
    <w:rPr>
      <w:rFonts w:eastAsiaTheme="minorEastAsia"/>
      <w:b/>
      <w:bCs/>
      <w:sz w:val="20"/>
      <w:szCs w:val="20"/>
      <w:lang w:val="es-ES_tradnl" w:eastAsia="es-ES"/>
    </w:rPr>
  </w:style>
  <w:style w:type="character" w:customStyle="1" w:styleId="UnresolvedMention">
    <w:name w:val="Unresolved Mention"/>
    <w:basedOn w:val="Fuentedeprrafopredeter"/>
    <w:uiPriority w:val="99"/>
    <w:semiHidden/>
    <w:unhideWhenUsed/>
    <w:rsid w:val="002B72E8"/>
    <w:rPr>
      <w:color w:val="605E5C"/>
      <w:shd w:val="clear" w:color="auto" w:fill="E1DFDD"/>
    </w:rPr>
  </w:style>
  <w:style w:type="paragraph" w:customStyle="1" w:styleId="Texto">
    <w:name w:val="Texto"/>
    <w:basedOn w:val="Normal"/>
    <w:rsid w:val="008348A3"/>
    <w:pPr>
      <w:spacing w:after="101" w:line="216" w:lineRule="exact"/>
      <w:ind w:firstLine="288"/>
      <w:jc w:val="both"/>
    </w:pPr>
    <w:rPr>
      <w:rFonts w:ascii="Arial" w:eastAsia="Times New Roman" w:hAnsi="Arial" w:cs="Arial"/>
      <w:sz w:val="18"/>
      <w:szCs w:val="20"/>
      <w:lang w:val="es-ES"/>
    </w:rPr>
  </w:style>
  <w:style w:type="paragraph" w:customStyle="1" w:styleId="ROMANOS">
    <w:name w:val="ROMANOS"/>
    <w:basedOn w:val="Normal"/>
    <w:rsid w:val="008348A3"/>
    <w:pPr>
      <w:tabs>
        <w:tab w:val="left" w:pos="720"/>
      </w:tabs>
      <w:spacing w:after="101" w:line="216" w:lineRule="exact"/>
      <w:ind w:left="720" w:hanging="432"/>
      <w:jc w:val="both"/>
    </w:pPr>
    <w:rPr>
      <w:rFonts w:ascii="Arial" w:eastAsia="Times New Roman" w:hAnsi="Arial" w:cs="Arial"/>
      <w:sz w:val="18"/>
      <w:szCs w:val="18"/>
      <w:lang w:val="es-ES"/>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92008D"/>
    <w:pPr>
      <w:ind w:left="720"/>
      <w:contextualSpacing/>
    </w:pPr>
    <w:rPr>
      <w:rFonts w:ascii="Century Gothic" w:eastAsia="Times New Roman" w:hAnsi="Century Gothic" w:cs="Times New Roman"/>
      <w:sz w:val="22"/>
      <w:lang w:val="es-MX"/>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34"/>
    <w:qFormat/>
    <w:rsid w:val="0092008D"/>
    <w:rPr>
      <w:rFonts w:ascii="Century Gothic" w:eastAsia="Times New Roman" w:hAnsi="Century Gothic" w:cs="Times New Roman"/>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diputados.gob.mx/LeyesBiblio/pdf/LGPDPPSO.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iputados.gob.mx/LeyesBiblio/pdf/LFTAIP_270117.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diputados.gob.mx/LeyesBiblio/pdf/LGPDPPSO.pdf"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diputados.gob.mx/LeyesBiblio/ref/lgtaip.htm"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403BD-33BE-4BA3-BE14-26910E711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1078</Words>
  <Characters>5935</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Oswaldo I. León Vences</dc:creator>
  <cp:lastModifiedBy>Renata Yunuen Ubriaco Contreras</cp:lastModifiedBy>
  <cp:revision>2</cp:revision>
  <cp:lastPrinted>2020-01-29T19:06:00Z</cp:lastPrinted>
  <dcterms:created xsi:type="dcterms:W3CDTF">2020-09-08T19:15:00Z</dcterms:created>
  <dcterms:modified xsi:type="dcterms:W3CDTF">2020-09-08T19:15:00Z</dcterms:modified>
</cp:coreProperties>
</file>